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B8FD8" w14:textId="06AD228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558B1">
        <w:rPr>
          <w:rFonts w:eastAsiaTheme="minorEastAsia" w:cs="Arial"/>
          <w:bCs/>
          <w:noProof w:val="0"/>
          <w:sz w:val="22"/>
          <w:szCs w:val="22"/>
          <w:lang w:eastAsia="zh-CN"/>
        </w:rPr>
        <w:t>3</w:t>
      </w:r>
      <w:r w:rsidR="002B736E">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522C10" w:rsidRPr="00522C10">
        <w:t xml:space="preserve"> </w:t>
      </w:r>
      <w:r w:rsidR="00522C10" w:rsidRPr="00522C10">
        <w:rPr>
          <w:rFonts w:eastAsiaTheme="minorEastAsia" w:cs="Arial"/>
          <w:bCs/>
          <w:noProof w:val="0"/>
          <w:sz w:val="22"/>
          <w:szCs w:val="22"/>
          <w:lang w:eastAsia="zh-CN"/>
        </w:rPr>
        <w:t>2209764</w:t>
      </w:r>
    </w:p>
    <w:p w14:paraId="34AA2AB6" w14:textId="254B9EF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Electronic Meeting</w:t>
      </w:r>
      <w:r w:rsidR="00D56F4E" w:rsidRPr="00D56F4E">
        <w:rPr>
          <w:rFonts w:eastAsiaTheme="minorEastAsia" w:cs="Arial"/>
          <w:bCs/>
          <w:noProof w:val="0"/>
          <w:sz w:val="22"/>
          <w:szCs w:val="22"/>
          <w:lang w:eastAsia="zh-CN"/>
        </w:rPr>
        <w:t xml:space="preserve">, </w:t>
      </w:r>
      <w:r w:rsidR="00D558B1">
        <w:rPr>
          <w:rFonts w:eastAsiaTheme="minorEastAsia" w:cs="Arial"/>
          <w:bCs/>
          <w:noProof w:val="0"/>
          <w:sz w:val="22"/>
          <w:szCs w:val="22"/>
          <w:lang w:eastAsia="zh-CN"/>
        </w:rPr>
        <w:t>May</w:t>
      </w:r>
      <w:r w:rsidR="00D558B1" w:rsidRPr="00F55326">
        <w:rPr>
          <w:rFonts w:eastAsiaTheme="minorEastAsia" w:cs="Arial"/>
          <w:bCs/>
          <w:noProof w:val="0"/>
          <w:sz w:val="22"/>
          <w:szCs w:val="22"/>
          <w:lang w:eastAsia="zh-CN"/>
        </w:rPr>
        <w:t xml:space="preserve"> </w:t>
      </w:r>
      <w:r w:rsidR="00D558B1">
        <w:rPr>
          <w:rFonts w:eastAsiaTheme="minorEastAsia" w:cs="Arial"/>
          <w:bCs/>
          <w:noProof w:val="0"/>
          <w:sz w:val="22"/>
          <w:szCs w:val="22"/>
          <w:lang w:eastAsia="zh-CN"/>
        </w:rPr>
        <w:t>09</w:t>
      </w:r>
      <w:r w:rsidR="00D558B1">
        <w:rPr>
          <w:rFonts w:eastAsiaTheme="minorEastAsia" w:cs="Arial"/>
          <w:bCs/>
          <w:noProof w:val="0"/>
          <w:sz w:val="22"/>
          <w:szCs w:val="22"/>
          <w:vertAlign w:val="superscript"/>
          <w:lang w:eastAsia="zh-CN"/>
        </w:rPr>
        <w:t xml:space="preserve">th </w:t>
      </w:r>
      <w:r w:rsidR="00D558B1" w:rsidRPr="00F55326">
        <w:rPr>
          <w:rFonts w:eastAsiaTheme="minorEastAsia" w:cs="Arial"/>
          <w:bCs/>
          <w:noProof w:val="0"/>
          <w:sz w:val="22"/>
          <w:szCs w:val="22"/>
          <w:lang w:eastAsia="zh-CN"/>
        </w:rPr>
        <w:t xml:space="preserve">- </w:t>
      </w:r>
      <w:r w:rsidR="00D558B1">
        <w:rPr>
          <w:rFonts w:eastAsiaTheme="minorEastAsia" w:cs="Arial"/>
          <w:bCs/>
          <w:noProof w:val="0"/>
          <w:sz w:val="22"/>
          <w:szCs w:val="22"/>
          <w:lang w:eastAsia="zh-CN"/>
        </w:rPr>
        <w:t>20</w:t>
      </w:r>
      <w:r w:rsidR="00D558B1">
        <w:rPr>
          <w:rFonts w:eastAsiaTheme="minorEastAsia" w:cs="Arial"/>
          <w:bCs/>
          <w:noProof w:val="0"/>
          <w:sz w:val="22"/>
          <w:szCs w:val="22"/>
          <w:vertAlign w:val="superscript"/>
          <w:lang w:eastAsia="zh-CN"/>
        </w:rPr>
        <w:t>th</w:t>
      </w:r>
      <w:r w:rsidR="00A723E0" w:rsidRPr="00F55326">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2B736E">
        <w:rPr>
          <w:rFonts w:eastAsiaTheme="minorEastAsia" w:cs="Arial"/>
          <w:bCs/>
          <w:noProof w:val="0"/>
          <w:sz w:val="22"/>
          <w:szCs w:val="22"/>
          <w:lang w:eastAsia="zh-CN"/>
        </w:rPr>
        <w:t>2</w:t>
      </w:r>
    </w:p>
    <w:p w14:paraId="7F354867" w14:textId="3B5B87B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D558B1">
        <w:rPr>
          <w:rFonts w:eastAsiaTheme="minorEastAsia" w:cs="Arial"/>
          <w:bCs/>
          <w:noProof w:val="0"/>
          <w:sz w:val="22"/>
          <w:szCs w:val="22"/>
          <w:lang w:eastAsia="zh-CN"/>
        </w:rPr>
        <w:t>9</w:t>
      </w:r>
      <w:r w:rsidR="00476255" w:rsidRPr="00395C45">
        <w:rPr>
          <w:rFonts w:eastAsiaTheme="minorEastAsia" w:cs="Arial"/>
          <w:bCs/>
          <w:noProof w:val="0"/>
          <w:sz w:val="22"/>
          <w:szCs w:val="22"/>
          <w:lang w:eastAsia="zh-CN"/>
        </w:rPr>
        <w:t>.</w:t>
      </w:r>
      <w:r w:rsidR="00D558B1">
        <w:rPr>
          <w:rFonts w:eastAsiaTheme="minorEastAsia" w:cs="Arial"/>
          <w:bCs/>
          <w:noProof w:val="0"/>
          <w:sz w:val="22"/>
          <w:szCs w:val="22"/>
          <w:lang w:eastAsia="zh-CN"/>
        </w:rPr>
        <w:t>19</w:t>
      </w:r>
      <w:r w:rsidR="00476255" w:rsidRPr="00395C45">
        <w:rPr>
          <w:rFonts w:eastAsiaTheme="minorEastAsia" w:cs="Arial"/>
          <w:bCs/>
          <w:noProof w:val="0"/>
          <w:sz w:val="22"/>
          <w:szCs w:val="22"/>
          <w:lang w:eastAsia="zh-CN"/>
        </w:rPr>
        <w:t>.</w:t>
      </w:r>
      <w:r w:rsidR="00CD5C45" w:rsidRPr="00395C45">
        <w:rPr>
          <w:rFonts w:eastAsiaTheme="minorEastAsia" w:cs="Arial"/>
          <w:bCs/>
          <w:noProof w:val="0"/>
          <w:sz w:val="22"/>
          <w:szCs w:val="22"/>
          <w:lang w:eastAsia="zh-CN"/>
        </w:rPr>
        <w:t>3</w:t>
      </w:r>
      <w:r w:rsidR="00476255" w:rsidRPr="00395C45">
        <w:rPr>
          <w:rFonts w:eastAsiaTheme="minorEastAsia" w:cs="Arial"/>
          <w:bCs/>
          <w:noProof w:val="0"/>
          <w:sz w:val="22"/>
          <w:szCs w:val="22"/>
          <w:lang w:eastAsia="zh-CN"/>
        </w:rPr>
        <w:t>.</w:t>
      </w:r>
      <w:r w:rsidR="00CD5C45" w:rsidRPr="00395C45">
        <w:rPr>
          <w:rFonts w:eastAsiaTheme="minorEastAsia" w:cs="Arial"/>
          <w:bCs/>
          <w:noProof w:val="0"/>
          <w:sz w:val="22"/>
          <w:szCs w:val="22"/>
          <w:lang w:eastAsia="zh-CN"/>
        </w:rPr>
        <w:t>1</w:t>
      </w:r>
      <w:r w:rsidR="00F433DE" w:rsidRPr="00395C45">
        <w:rPr>
          <w:rFonts w:eastAsiaTheme="minorEastAsia" w:cs="Arial"/>
          <w:bCs/>
          <w:noProof w:val="0"/>
          <w:sz w:val="22"/>
          <w:szCs w:val="22"/>
          <w:lang w:eastAsia="zh-CN"/>
        </w:rPr>
        <w:t>.3</w:t>
      </w:r>
    </w:p>
    <w:p w14:paraId="3A2791C7" w14:textId="379AFF98"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1B104A99"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33DE">
        <w:rPr>
          <w:rFonts w:eastAsiaTheme="minorEastAsia" w:cs="Arial"/>
          <w:bCs/>
          <w:noProof w:val="0"/>
          <w:sz w:val="22"/>
          <w:szCs w:val="22"/>
          <w:lang w:eastAsia="zh-CN"/>
        </w:rPr>
        <w:t>UE complexity reduction impact on timing requirements</w:t>
      </w:r>
    </w:p>
    <w:p w14:paraId="5B0A981C"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07A63C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3252C1EE" w14:textId="56F69563" w:rsidR="00A667E7" w:rsidRPr="00D34B64" w:rsidRDefault="002C6490" w:rsidP="004459CB">
      <w:pPr>
        <w:jc w:val="both"/>
      </w:pPr>
      <w:r w:rsidRPr="00AC2609">
        <w:t xml:space="preserve">In this </w:t>
      </w:r>
      <w:r w:rsidR="00B67301" w:rsidRPr="00AC2609">
        <w:t xml:space="preserve">contribution </w:t>
      </w:r>
      <w:r w:rsidR="00D32C5A" w:rsidRPr="00AC2609">
        <w:t xml:space="preserve">paper, we discuss the </w:t>
      </w:r>
      <w:r w:rsidR="00EA73B6" w:rsidRPr="00AC2609">
        <w:t xml:space="preserve">remaining open issues on timing requirements for </w:t>
      </w:r>
      <w:proofErr w:type="spellStart"/>
      <w:r w:rsidR="00EA73B6" w:rsidRPr="00AC2609">
        <w:t>RedCap</w:t>
      </w:r>
      <w:proofErr w:type="spellEnd"/>
      <w:r w:rsidR="00EA73B6" w:rsidRPr="00AC2609">
        <w:t xml:space="preserve"> from the way forward (WF) of the meeting RAN4#10</w:t>
      </w:r>
      <w:r w:rsidR="00AC2609" w:rsidRPr="00AC2609">
        <w:t>2</w:t>
      </w:r>
      <w:r w:rsidR="00EA73B6" w:rsidRPr="00AC2609">
        <w:t>-e</w:t>
      </w:r>
      <w:r w:rsidR="00135EEB" w:rsidRPr="00AC2609">
        <w:t xml:space="preserve"> </w:t>
      </w:r>
      <w:r w:rsidR="00135EEB" w:rsidRPr="00AC2609">
        <w:fldChar w:fldCharType="begin"/>
      </w:r>
      <w:r w:rsidR="00135EEB" w:rsidRPr="00AC2609">
        <w:instrText xml:space="preserve"> REF _Ref71639227 \r \h </w:instrText>
      </w:r>
      <w:r w:rsidR="00D558B1" w:rsidRPr="00AC2609">
        <w:instrText xml:space="preserve"> \* MERGEFORMAT </w:instrText>
      </w:r>
      <w:r w:rsidR="00135EEB" w:rsidRPr="00AC2609">
        <w:fldChar w:fldCharType="separate"/>
      </w:r>
      <w:r w:rsidR="00522C10">
        <w:t>[1]</w:t>
      </w:r>
      <w:r w:rsidR="00135EEB" w:rsidRPr="00AC2609">
        <w:fldChar w:fldCharType="end"/>
      </w:r>
      <w:r w:rsidR="00B67301" w:rsidRPr="00AC2609">
        <w:t>:</w:t>
      </w:r>
      <w:r w:rsidR="00B67301" w:rsidRPr="00D34B64">
        <w:t xml:space="preserve"> </w:t>
      </w:r>
    </w:p>
    <w:tbl>
      <w:tblPr>
        <w:tblStyle w:val="TableGrid"/>
        <w:tblW w:w="0" w:type="auto"/>
        <w:tblLook w:val="04A0" w:firstRow="1" w:lastRow="0" w:firstColumn="1" w:lastColumn="0" w:noHBand="0" w:noVBand="1"/>
      </w:tblPr>
      <w:tblGrid>
        <w:gridCol w:w="9629"/>
      </w:tblGrid>
      <w:tr w:rsidR="00B67301" w:rsidRPr="00D34B64" w14:paraId="10A4AED5" w14:textId="77777777" w:rsidTr="00B67301">
        <w:tc>
          <w:tcPr>
            <w:tcW w:w="9629" w:type="dxa"/>
          </w:tcPr>
          <w:p w14:paraId="63EB5B79" w14:textId="77777777" w:rsidR="007F41A5" w:rsidRPr="00C81643" w:rsidRDefault="007F41A5" w:rsidP="007F41A5">
            <w:pPr>
              <w:spacing w:before="100" w:beforeAutospacing="1" w:after="100" w:afterAutospacing="1" w:line="240" w:lineRule="auto"/>
              <w:rPr>
                <w:color w:val="000000"/>
              </w:rPr>
            </w:pPr>
            <w:r w:rsidRPr="00C81643">
              <w:rPr>
                <w:b/>
                <w:bCs/>
                <w:color w:val="000000"/>
                <w:u w:val="single"/>
                <w:lang w:eastAsia="ko-KR"/>
              </w:rPr>
              <w:t xml:space="preserve">Whether SSB </w:t>
            </w:r>
            <w:proofErr w:type="gramStart"/>
            <w:r w:rsidRPr="00C81643">
              <w:rPr>
                <w:b/>
                <w:bCs/>
                <w:color w:val="000000"/>
                <w:u w:val="single"/>
                <w:lang w:eastAsia="ko-KR"/>
              </w:rPr>
              <w:t>has to</w:t>
            </w:r>
            <w:proofErr w:type="gramEnd"/>
            <w:r w:rsidRPr="00C81643">
              <w:rPr>
                <w:b/>
                <w:bCs/>
                <w:color w:val="000000"/>
                <w:u w:val="single"/>
                <w:lang w:eastAsia="ko-KR"/>
              </w:rPr>
              <w:t xml:space="preserve"> be in UE active BWP for meeting the UE transmit timing requirements</w:t>
            </w:r>
          </w:p>
          <w:p w14:paraId="57210C98" w14:textId="77777777" w:rsidR="007F41A5" w:rsidRDefault="007F41A5" w:rsidP="007F41A5">
            <w:pPr>
              <w:pStyle w:val="ListParagraph"/>
              <w:numPr>
                <w:ilvl w:val="0"/>
                <w:numId w:val="29"/>
              </w:numPr>
              <w:overflowPunct w:val="0"/>
              <w:autoSpaceDE w:val="0"/>
              <w:autoSpaceDN w:val="0"/>
              <w:spacing w:before="100" w:after="100" w:line="252" w:lineRule="auto"/>
              <w:rPr>
                <w:rFonts w:ascii="Calibri" w:hAnsi="Calibri" w:cs="Calibri"/>
              </w:rPr>
            </w:pPr>
            <w:r>
              <w:rPr>
                <w:b/>
                <w:bCs/>
              </w:rPr>
              <w:t>Option 1 (Xiaomi, vivo):</w:t>
            </w:r>
            <w:r>
              <w:t xml:space="preserve">       SSB </w:t>
            </w:r>
            <w:proofErr w:type="gramStart"/>
            <w:r>
              <w:t>has to</w:t>
            </w:r>
            <w:proofErr w:type="gramEnd"/>
            <w:r>
              <w:t xml:space="preserve"> be in active BWP.</w:t>
            </w:r>
          </w:p>
          <w:p w14:paraId="29ED02AE" w14:textId="77777777" w:rsidR="007F41A5" w:rsidRDefault="007F41A5" w:rsidP="007F41A5">
            <w:pPr>
              <w:pStyle w:val="ListParagraph"/>
              <w:ind w:left="1440" w:firstLine="400"/>
              <w:rPr>
                <w:rFonts w:eastAsiaTheme="minorHAnsi"/>
                <w:lang w:eastAsia="sv-SE"/>
              </w:rPr>
            </w:pPr>
          </w:p>
          <w:p w14:paraId="1F8D5674" w14:textId="45C94F0B" w:rsidR="007F41A5" w:rsidRPr="00FB4C15" w:rsidRDefault="007F41A5" w:rsidP="007F41A5">
            <w:pPr>
              <w:pStyle w:val="ListParagraph"/>
              <w:numPr>
                <w:ilvl w:val="0"/>
                <w:numId w:val="29"/>
              </w:numPr>
              <w:overflowPunct w:val="0"/>
              <w:autoSpaceDE w:val="0"/>
              <w:autoSpaceDN w:val="0"/>
              <w:spacing w:before="100" w:after="100" w:line="252" w:lineRule="auto"/>
              <w:rPr>
                <w:rFonts w:eastAsia="Times New Roman"/>
              </w:rPr>
            </w:pPr>
            <w:r>
              <w:rPr>
                <w:b/>
                <w:bCs/>
              </w:rPr>
              <w:t xml:space="preserve">Option 2 (ZTE, HW, CMCC, Apple):               </w:t>
            </w:r>
            <w:r>
              <w:t xml:space="preserve">Redcap UE should meet the existing </w:t>
            </w:r>
            <w:proofErr w:type="spellStart"/>
            <w:r>
              <w:t>Te</w:t>
            </w:r>
            <w:proofErr w:type="spellEnd"/>
            <w:r>
              <w:t xml:space="preserve"> and </w:t>
            </w:r>
            <w:proofErr w:type="spellStart"/>
            <w:r>
              <w:t>Tq</w:t>
            </w:r>
            <w:proofErr w:type="spellEnd"/>
            <w:r>
              <w:t xml:space="preserve"> requirements provided that the SSB is available at the UE at least once every 160 </w:t>
            </w:r>
            <w:proofErr w:type="spellStart"/>
            <w:r>
              <w:t>ms</w:t>
            </w:r>
            <w:proofErr w:type="spellEnd"/>
            <w:r>
              <w:t xml:space="preserve"> regardless whether SSB is in active BWP.</w:t>
            </w:r>
          </w:p>
          <w:p w14:paraId="0C3A641B" w14:textId="77777777" w:rsidR="007F41A5" w:rsidRDefault="007F41A5" w:rsidP="007F41A5">
            <w:pPr>
              <w:pStyle w:val="ListParagraph"/>
              <w:numPr>
                <w:ilvl w:val="2"/>
                <w:numId w:val="29"/>
              </w:numPr>
              <w:overflowPunct w:val="0"/>
              <w:autoSpaceDE w:val="0"/>
              <w:autoSpaceDN w:val="0"/>
              <w:spacing w:after="100" w:afterAutospacing="1" w:line="252" w:lineRule="auto"/>
              <w:rPr>
                <w:b/>
                <w:bCs/>
              </w:rPr>
            </w:pPr>
            <w:r>
              <w:rPr>
                <w:b/>
                <w:bCs/>
              </w:rPr>
              <w:t xml:space="preserve">Option 2a (MTK, QC, vivo): </w:t>
            </w:r>
            <w:r>
              <w:t xml:space="preserve">Redcap UE should meet the existing </w:t>
            </w:r>
            <w:proofErr w:type="spellStart"/>
            <w:r>
              <w:t>Te</w:t>
            </w:r>
            <w:proofErr w:type="spellEnd"/>
            <w:r>
              <w:t xml:space="preserve"> and </w:t>
            </w:r>
            <w:proofErr w:type="spellStart"/>
            <w:r>
              <w:t>Tq</w:t>
            </w:r>
            <w:proofErr w:type="spellEnd"/>
            <w:r>
              <w:t xml:space="preserve"> requirements provided that the SSB is available at the UE at least once every 160 </w:t>
            </w:r>
            <w:proofErr w:type="spellStart"/>
            <w:r>
              <w:t>ms</w:t>
            </w:r>
            <w:proofErr w:type="spellEnd"/>
            <w:r>
              <w:t xml:space="preserve"> and the SSB is in active BWP.</w:t>
            </w:r>
          </w:p>
          <w:p w14:paraId="371F099F" w14:textId="77777777" w:rsidR="007F41A5" w:rsidRDefault="007F41A5" w:rsidP="007F41A5">
            <w:pPr>
              <w:pStyle w:val="ListParagraph"/>
              <w:ind w:left="1440" w:firstLine="400"/>
              <w:rPr>
                <w:rFonts w:eastAsiaTheme="minorHAnsi"/>
              </w:rPr>
            </w:pPr>
          </w:p>
          <w:p w14:paraId="3CC0D9E0" w14:textId="77777777" w:rsidR="007F41A5" w:rsidRDefault="007F41A5" w:rsidP="007F41A5">
            <w:pPr>
              <w:pStyle w:val="ListParagraph"/>
              <w:numPr>
                <w:ilvl w:val="0"/>
                <w:numId w:val="29"/>
              </w:numPr>
              <w:overflowPunct w:val="0"/>
              <w:autoSpaceDE w:val="0"/>
              <w:autoSpaceDN w:val="0"/>
              <w:spacing w:before="100" w:after="100" w:line="252" w:lineRule="auto"/>
              <w:rPr>
                <w:rFonts w:eastAsia="Times New Roman"/>
              </w:rPr>
            </w:pPr>
            <w:r>
              <w:rPr>
                <w:b/>
                <w:bCs/>
              </w:rPr>
              <w:t>Option 3 (E///, Nokia):</w:t>
            </w:r>
            <w:r>
              <w:t xml:space="preserve"> </w:t>
            </w:r>
            <w:proofErr w:type="spellStart"/>
            <w:r>
              <w:t>Te</w:t>
            </w:r>
            <w:proofErr w:type="spellEnd"/>
            <w:r>
              <w:t xml:space="preserve"> requirements are met under any of the following scenarios:</w:t>
            </w:r>
          </w:p>
          <w:p w14:paraId="4D733A4B" w14:textId="77777777" w:rsidR="007F41A5" w:rsidRDefault="007F41A5" w:rsidP="007F41A5">
            <w:pPr>
              <w:pStyle w:val="ListParagraph"/>
              <w:numPr>
                <w:ilvl w:val="1"/>
                <w:numId w:val="29"/>
              </w:numPr>
              <w:overflowPunct w:val="0"/>
              <w:autoSpaceDE w:val="0"/>
              <w:autoSpaceDN w:val="0"/>
              <w:spacing w:before="120" w:after="0" w:line="252" w:lineRule="auto"/>
              <w:contextualSpacing w:val="0"/>
              <w:rPr>
                <w:rFonts w:eastAsiaTheme="minorHAnsi"/>
              </w:rPr>
            </w:pPr>
            <w:r>
              <w:t xml:space="preserve">SSB is in the UE’s active BWP, or </w:t>
            </w:r>
          </w:p>
          <w:p w14:paraId="589039DE" w14:textId="77777777" w:rsidR="007F41A5" w:rsidRDefault="007F41A5" w:rsidP="007F41A5">
            <w:pPr>
              <w:pStyle w:val="ListParagraph"/>
              <w:numPr>
                <w:ilvl w:val="1"/>
                <w:numId w:val="29"/>
              </w:numPr>
              <w:overflowPunct w:val="0"/>
              <w:autoSpaceDE w:val="0"/>
              <w:autoSpaceDN w:val="0"/>
              <w:spacing w:before="120" w:after="0" w:line="252" w:lineRule="auto"/>
              <w:contextualSpacing w:val="0"/>
              <w:rPr>
                <w:rFonts w:eastAsia="Times New Roman"/>
              </w:rPr>
            </w:pPr>
            <w:r>
              <w:t>SSB is not in the UE’s active BWP (</w:t>
            </w:r>
            <w:proofErr w:type="spellStart"/>
            <w:r>
              <w:t>RedCap</w:t>
            </w:r>
            <w:proofErr w:type="spellEnd"/>
            <w:r>
              <w:t xml:space="preserve"> BWP) but the following condition is met:</w:t>
            </w:r>
          </w:p>
          <w:p w14:paraId="12EC5C7C" w14:textId="78DC1722" w:rsidR="00B67301" w:rsidRPr="007F41A5" w:rsidRDefault="007F41A5" w:rsidP="007F41A5">
            <w:pPr>
              <w:pStyle w:val="ListParagraph"/>
              <w:numPr>
                <w:ilvl w:val="2"/>
                <w:numId w:val="29"/>
              </w:numPr>
              <w:overflowPunct w:val="0"/>
              <w:autoSpaceDE w:val="0"/>
              <w:autoSpaceDN w:val="0"/>
              <w:spacing w:before="120" w:after="0" w:line="252" w:lineRule="auto"/>
              <w:contextualSpacing w:val="0"/>
            </w:pPr>
            <w:r>
              <w:t xml:space="preserve">UE’s active </w:t>
            </w:r>
            <w:proofErr w:type="gramStart"/>
            <w:r>
              <w:t>BWP(</w:t>
            </w:r>
            <w:proofErr w:type="spellStart"/>
            <w:proofErr w:type="gramEnd"/>
            <w:r>
              <w:t>RedCap</w:t>
            </w:r>
            <w:proofErr w:type="spellEnd"/>
            <w:r>
              <w:t xml:space="preserve"> BWP) and initial BWP are within 20 MHz for FR1, or within 100 MHz for FR2.</w:t>
            </w:r>
          </w:p>
        </w:tc>
      </w:tr>
    </w:tbl>
    <w:p w14:paraId="18D3D42F" w14:textId="58A0C6BB"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w:t>
      </w:r>
      <w:r w:rsidR="00E14D41">
        <w:rPr>
          <w:rFonts w:ascii="Arial" w:hAnsi="Arial" w:cs="Arial"/>
        </w:rPr>
        <w:t xml:space="preserve">timing requirements </w:t>
      </w:r>
    </w:p>
    <w:p w14:paraId="117FC866" w14:textId="76A2F381" w:rsidR="00176C07" w:rsidRPr="00176C07" w:rsidRDefault="00176C07" w:rsidP="00176C07">
      <w:r>
        <w:t xml:space="preserve">This section provides discussion on </w:t>
      </w:r>
      <w:r w:rsidR="00EA73B6">
        <w:t>the remaining open issues from timing requirements</w:t>
      </w:r>
      <w:r>
        <w:t>.</w:t>
      </w:r>
    </w:p>
    <w:p w14:paraId="6E37A2CE" w14:textId="6B7C149F" w:rsidR="00774F7E" w:rsidRDefault="00EA73B6" w:rsidP="00E81BF5">
      <w:pPr>
        <w:pStyle w:val="Heading1"/>
        <w:numPr>
          <w:ilvl w:val="1"/>
          <w:numId w:val="1"/>
        </w:numPr>
        <w:jc w:val="both"/>
        <w:rPr>
          <w:rFonts w:ascii="Arial" w:hAnsi="Arial" w:cs="Arial"/>
        </w:rPr>
      </w:pPr>
      <w:r w:rsidRPr="00EA73B6">
        <w:rPr>
          <w:rFonts w:ascii="Arial" w:hAnsi="Arial" w:cs="Arial"/>
        </w:rPr>
        <w:t>Condition for meeting UE transmit timing requirements</w:t>
      </w:r>
    </w:p>
    <w:p w14:paraId="5A8248F7" w14:textId="127C3639" w:rsidR="00A0101E" w:rsidRDefault="00171E46" w:rsidP="009D0A68">
      <w:pPr>
        <w:jc w:val="both"/>
      </w:pPr>
      <w:r>
        <w:t xml:space="preserve">Given that NCD-SSB is supported by </w:t>
      </w:r>
      <w:proofErr w:type="spellStart"/>
      <w:r>
        <w:t>RedCap</w:t>
      </w:r>
      <w:proofErr w:type="spellEnd"/>
      <w:r>
        <w:t xml:space="preserve"> UE, hence the RAN4 requirements should be adapted to capture this new feature</w:t>
      </w:r>
      <w:r w:rsidR="00E14D41">
        <w:t>.</w:t>
      </w:r>
      <w:r>
        <w:t xml:space="preserve"> Furthermore, </w:t>
      </w:r>
      <w:r w:rsidR="00A0101E">
        <w:t xml:space="preserve">from the previous meeting RAN4#102-e </w:t>
      </w:r>
      <w:r w:rsidR="008D3806">
        <w:fldChar w:fldCharType="begin"/>
      </w:r>
      <w:r w:rsidR="008D3806">
        <w:instrText xml:space="preserve"> REF _Ref100845952 \r \h </w:instrText>
      </w:r>
      <w:r w:rsidR="008D3806">
        <w:fldChar w:fldCharType="separate"/>
      </w:r>
      <w:r w:rsidR="00522C10">
        <w:t>[2]</w:t>
      </w:r>
      <w:r w:rsidR="008D3806">
        <w:fldChar w:fldCharType="end"/>
      </w:r>
      <w:r w:rsidR="00A0101E">
        <w:t xml:space="preserve">, we have the following agreement from GTW: </w:t>
      </w:r>
    </w:p>
    <w:tbl>
      <w:tblPr>
        <w:tblStyle w:val="TableGrid"/>
        <w:tblW w:w="0" w:type="auto"/>
        <w:tblLook w:val="04A0" w:firstRow="1" w:lastRow="0" w:firstColumn="1" w:lastColumn="0" w:noHBand="0" w:noVBand="1"/>
      </w:tblPr>
      <w:tblGrid>
        <w:gridCol w:w="9629"/>
      </w:tblGrid>
      <w:tr w:rsidR="00A0101E" w14:paraId="4380BB48" w14:textId="77777777" w:rsidTr="00A0101E">
        <w:tc>
          <w:tcPr>
            <w:tcW w:w="9629" w:type="dxa"/>
          </w:tcPr>
          <w:p w14:paraId="1312B593" w14:textId="77777777" w:rsidR="00A0101E" w:rsidRPr="00EA36E6" w:rsidRDefault="00A0101E" w:rsidP="00A0101E">
            <w:pPr>
              <w:pStyle w:val="ListParagraph"/>
              <w:numPr>
                <w:ilvl w:val="0"/>
                <w:numId w:val="31"/>
              </w:numPr>
              <w:overflowPunct w:val="0"/>
              <w:autoSpaceDE w:val="0"/>
              <w:autoSpaceDN w:val="0"/>
              <w:adjustRightInd w:val="0"/>
              <w:spacing w:after="120" w:line="252" w:lineRule="auto"/>
              <w:ind w:left="644"/>
              <w:contextualSpacing w:val="0"/>
              <w:rPr>
                <w:highlight w:val="green"/>
                <w:lang w:eastAsia="ja-JP"/>
              </w:rPr>
            </w:pPr>
            <w:r w:rsidRPr="00EA36E6">
              <w:rPr>
                <w:highlight w:val="green"/>
                <w:lang w:eastAsia="ja-JP"/>
              </w:rPr>
              <w:t>Agreements</w:t>
            </w:r>
          </w:p>
          <w:p w14:paraId="4FCC7642" w14:textId="77777777" w:rsidR="00A0101E" w:rsidRPr="00EA36E6" w:rsidRDefault="00A0101E" w:rsidP="00A0101E">
            <w:pPr>
              <w:pStyle w:val="ListParagraph"/>
              <w:numPr>
                <w:ilvl w:val="1"/>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 xml:space="preserve">Define </w:t>
            </w:r>
            <w:proofErr w:type="spellStart"/>
            <w:r w:rsidRPr="00EA36E6">
              <w:rPr>
                <w:highlight w:val="green"/>
                <w:lang w:eastAsia="ja-JP"/>
              </w:rPr>
              <w:t>RedCap</w:t>
            </w:r>
            <w:proofErr w:type="spellEnd"/>
            <w:r w:rsidRPr="00EA36E6">
              <w:rPr>
                <w:highlight w:val="green"/>
                <w:lang w:eastAsia="ja-JP"/>
              </w:rPr>
              <w:t xml:space="preserve"> UE’s measurement requirements based on the following scenarios:</w:t>
            </w:r>
          </w:p>
          <w:p w14:paraId="71E1A21B" w14:textId="77777777" w:rsidR="00A0101E" w:rsidRPr="00EA36E6" w:rsidRDefault="00A0101E" w:rsidP="00A0101E">
            <w:pPr>
              <w:pStyle w:val="ListParagraph"/>
              <w:numPr>
                <w:ilvl w:val="2"/>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 xml:space="preserve">Case A: Serving cell active BWP includes CD-SSB </w:t>
            </w:r>
          </w:p>
          <w:p w14:paraId="7814E7BB" w14:textId="77777777" w:rsidR="00A0101E" w:rsidRPr="00EA36E6" w:rsidRDefault="00A0101E" w:rsidP="00A0101E">
            <w:pPr>
              <w:pStyle w:val="ListParagraph"/>
              <w:numPr>
                <w:ilvl w:val="2"/>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Case B: Serving cell active BWP includes NCD-SSB</w:t>
            </w:r>
          </w:p>
          <w:p w14:paraId="550AEFF0" w14:textId="77777777" w:rsidR="00A0101E" w:rsidRPr="00EA36E6" w:rsidRDefault="00A0101E" w:rsidP="00A0101E">
            <w:pPr>
              <w:pStyle w:val="ListParagraph"/>
              <w:numPr>
                <w:ilvl w:val="3"/>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 xml:space="preserve">Case B-1: All neighbour cells include NCD-SSB on the same frequency location as serving cell NCD-SSB/[CD-SSB] </w:t>
            </w:r>
          </w:p>
          <w:p w14:paraId="1FA39F88" w14:textId="77777777" w:rsidR="00A0101E" w:rsidRPr="00EA36E6" w:rsidRDefault="00A0101E" w:rsidP="00A0101E">
            <w:pPr>
              <w:pStyle w:val="ListParagraph"/>
              <w:numPr>
                <w:ilvl w:val="1"/>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 xml:space="preserve">FFS whether to support Case B-2 </w:t>
            </w:r>
          </w:p>
          <w:p w14:paraId="632BF9F9" w14:textId="77777777" w:rsidR="00A0101E" w:rsidRPr="00EA36E6" w:rsidRDefault="00A0101E" w:rsidP="00A0101E">
            <w:pPr>
              <w:pStyle w:val="ListParagraph"/>
              <w:numPr>
                <w:ilvl w:val="2"/>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t>Case B-2: Some neighbour cells include NCD-SSB, and some neighbour cells without NCD-SSB on the same frequency location as serving cell NCD-SSB/CD-SSB</w:t>
            </w:r>
          </w:p>
          <w:p w14:paraId="133A6D53" w14:textId="60963A35" w:rsidR="00A0101E" w:rsidRPr="00A0101E" w:rsidRDefault="00A0101E" w:rsidP="00A0101E">
            <w:pPr>
              <w:pStyle w:val="ListParagraph"/>
              <w:numPr>
                <w:ilvl w:val="2"/>
                <w:numId w:val="31"/>
              </w:numPr>
              <w:overflowPunct w:val="0"/>
              <w:autoSpaceDE w:val="0"/>
              <w:autoSpaceDN w:val="0"/>
              <w:adjustRightInd w:val="0"/>
              <w:spacing w:after="120" w:line="252" w:lineRule="auto"/>
              <w:contextualSpacing w:val="0"/>
              <w:rPr>
                <w:highlight w:val="green"/>
                <w:lang w:eastAsia="ja-JP"/>
              </w:rPr>
            </w:pPr>
            <w:r w:rsidRPr="00EA36E6">
              <w:rPr>
                <w:highlight w:val="green"/>
                <w:lang w:eastAsia="ja-JP"/>
              </w:rPr>
              <w:lastRenderedPageBreak/>
              <w:t>Note: if the scenario is supported then no new requirements or minimum changes shall be introduced comparing to Case A and B-1 requirements</w:t>
            </w:r>
          </w:p>
        </w:tc>
      </w:tr>
    </w:tbl>
    <w:p w14:paraId="676DAA0D" w14:textId="0AF39A70" w:rsidR="00D21654" w:rsidRDefault="00A0101E" w:rsidP="009D0A68">
      <w:pPr>
        <w:jc w:val="both"/>
      </w:pPr>
      <w:r>
        <w:lastRenderedPageBreak/>
        <w:t xml:space="preserve">It is clear from the agreement that </w:t>
      </w:r>
      <w:proofErr w:type="gramStart"/>
      <w:r>
        <w:t>in order for</w:t>
      </w:r>
      <w:proofErr w:type="gramEnd"/>
      <w:r>
        <w:t xml:space="preserve"> the UE to support Case A and Case B/B1, a SSB has to be in the </w:t>
      </w:r>
      <w:r w:rsidR="00B92A7D">
        <w:t xml:space="preserve">active DL </w:t>
      </w:r>
      <w:r>
        <w:t xml:space="preserve">BWP. Hence, </w:t>
      </w:r>
      <w:r w:rsidR="00171E46">
        <w:t xml:space="preserve">it is necessary to capture that the SSB (either CD-SSB or NCD-SSB) </w:t>
      </w:r>
      <w:proofErr w:type="gramStart"/>
      <w:r w:rsidR="00171E46">
        <w:t>has to</w:t>
      </w:r>
      <w:proofErr w:type="gramEnd"/>
      <w:r w:rsidR="00171E46">
        <w:t xml:space="preserve"> be in the active </w:t>
      </w:r>
      <w:r w:rsidR="00B92A7D">
        <w:t xml:space="preserve">DL </w:t>
      </w:r>
      <w:r w:rsidR="00171E46">
        <w:t xml:space="preserve">BWP. Now, the provided options 1 and 2 in the above open issues are not contradicting each other and in fact these two options </w:t>
      </w:r>
      <w:r w:rsidR="0075412B">
        <w:t>are</w:t>
      </w:r>
      <w:r w:rsidR="00171E46">
        <w:t xml:space="preserve"> combined in a single option as given in option </w:t>
      </w:r>
      <w:r w:rsidR="0075412B">
        <w:t>2a</w:t>
      </w:r>
      <w:r w:rsidR="00171E46">
        <w:t xml:space="preserve">. Therefore, we support option </w:t>
      </w:r>
      <w:r w:rsidR="0075412B">
        <w:t>2a</w:t>
      </w:r>
      <w:r w:rsidR="00171E46">
        <w:t xml:space="preserve"> and option </w:t>
      </w:r>
      <w:r w:rsidR="0075412B">
        <w:t>1</w:t>
      </w:r>
      <w:r w:rsidR="00171E46">
        <w:t xml:space="preserve"> because these options specify that the SSB </w:t>
      </w:r>
      <w:proofErr w:type="gramStart"/>
      <w:r w:rsidR="00171E46">
        <w:t>has to</w:t>
      </w:r>
      <w:proofErr w:type="gramEnd"/>
      <w:r w:rsidR="00171E46">
        <w:t xml:space="preserve"> be in active BWP.</w:t>
      </w:r>
    </w:p>
    <w:p w14:paraId="7521A03E" w14:textId="24F92BA6" w:rsidR="00E24B04" w:rsidRDefault="00171E46" w:rsidP="00246EEB">
      <w:pPr>
        <w:pStyle w:val="ListParagraph"/>
        <w:numPr>
          <w:ilvl w:val="0"/>
          <w:numId w:val="18"/>
        </w:numPr>
        <w:spacing w:after="180"/>
        <w:contextualSpacing w:val="0"/>
        <w:jc w:val="both"/>
        <w:rPr>
          <w:rFonts w:cstheme="minorHAnsi"/>
          <w:b/>
          <w:lang w:eastAsia="ko-KR"/>
        </w:rPr>
      </w:pPr>
      <w:bookmarkStart w:id="0" w:name="_Ref78985672"/>
      <w:r>
        <w:rPr>
          <w:rFonts w:cstheme="minorHAnsi"/>
          <w:b/>
          <w:lang w:eastAsia="ko-KR"/>
        </w:rPr>
        <w:t xml:space="preserve">Option 1 and 2 are not contradicting each other and both shall be captured as in option </w:t>
      </w:r>
      <w:r w:rsidR="00A0101E">
        <w:rPr>
          <w:rFonts w:cstheme="minorHAnsi"/>
          <w:b/>
          <w:lang w:eastAsia="ko-KR"/>
        </w:rPr>
        <w:t>2a</w:t>
      </w:r>
      <w:r w:rsidR="00E24B04" w:rsidRPr="00D34B64">
        <w:rPr>
          <w:rFonts w:cstheme="minorHAnsi"/>
          <w:b/>
          <w:lang w:eastAsia="ko-KR"/>
        </w:rPr>
        <w:t>.</w:t>
      </w:r>
      <w:bookmarkEnd w:id="0"/>
    </w:p>
    <w:p w14:paraId="060C56E6" w14:textId="03CA3E76" w:rsidR="004B7551" w:rsidRDefault="004B7551" w:rsidP="00246EEB">
      <w:pPr>
        <w:pStyle w:val="ListParagraph"/>
        <w:numPr>
          <w:ilvl w:val="0"/>
          <w:numId w:val="18"/>
        </w:numPr>
        <w:spacing w:after="180"/>
        <w:contextualSpacing w:val="0"/>
        <w:jc w:val="both"/>
        <w:rPr>
          <w:rFonts w:cstheme="minorHAnsi"/>
          <w:b/>
          <w:lang w:eastAsia="ko-KR"/>
        </w:rPr>
      </w:pPr>
      <w:bookmarkStart w:id="1" w:name="_Ref100845626"/>
      <w:r>
        <w:rPr>
          <w:rFonts w:cstheme="minorHAnsi"/>
          <w:b/>
          <w:lang w:eastAsia="ko-KR"/>
        </w:rPr>
        <w:t>For the agreed cases A and B/B1 the SSB is always included in the active BWP.</w:t>
      </w:r>
      <w:bookmarkEnd w:id="1"/>
      <w:r>
        <w:rPr>
          <w:rFonts w:cstheme="minorHAnsi"/>
          <w:b/>
          <w:lang w:eastAsia="ko-KR"/>
        </w:rPr>
        <w:t xml:space="preserve"> </w:t>
      </w:r>
    </w:p>
    <w:p w14:paraId="2C781C28" w14:textId="4532ACFF" w:rsidR="003F0C4B" w:rsidRPr="004B7551" w:rsidRDefault="00171E46" w:rsidP="0075412B">
      <w:pPr>
        <w:pStyle w:val="ListParagraph"/>
        <w:numPr>
          <w:ilvl w:val="0"/>
          <w:numId w:val="19"/>
        </w:numPr>
        <w:spacing w:after="180"/>
        <w:contextualSpacing w:val="0"/>
        <w:jc w:val="both"/>
        <w:rPr>
          <w:rFonts w:ascii="Times New Roman" w:hAnsi="Times New Roman" w:cs="Times New Roman"/>
          <w:b/>
          <w:sz w:val="20"/>
          <w:szCs w:val="20"/>
        </w:rPr>
      </w:pPr>
      <w:bookmarkStart w:id="2" w:name="_Ref78920219"/>
      <w:r>
        <w:rPr>
          <w:rFonts w:cstheme="minorHAnsi"/>
          <w:b/>
          <w:lang w:eastAsia="ko-KR"/>
        </w:rPr>
        <w:t>Support Option 2</w:t>
      </w:r>
      <w:r w:rsidR="00A0101E">
        <w:rPr>
          <w:rFonts w:cstheme="minorHAnsi"/>
          <w:b/>
          <w:lang w:eastAsia="ko-KR"/>
        </w:rPr>
        <w:t>a</w:t>
      </w:r>
      <w:r w:rsidRPr="00171E46">
        <w:rPr>
          <w:rFonts w:cstheme="minorHAnsi"/>
          <w:b/>
          <w:lang w:eastAsia="ko-KR"/>
        </w:rPr>
        <w:t xml:space="preserve">: </w:t>
      </w:r>
      <w:r w:rsidR="00A0101E" w:rsidRPr="00A0101E">
        <w:rPr>
          <w:rFonts w:eastAsia="SimSun"/>
          <w:b/>
          <w:color w:val="000000" w:themeColor="text1"/>
          <w:szCs w:val="24"/>
        </w:rPr>
        <w:t xml:space="preserve">Redcap UE should meet the existing </w:t>
      </w:r>
      <w:proofErr w:type="spellStart"/>
      <w:r w:rsidR="00A0101E" w:rsidRPr="00A0101E">
        <w:rPr>
          <w:rFonts w:eastAsia="SimSun"/>
          <w:b/>
          <w:color w:val="000000" w:themeColor="text1"/>
          <w:szCs w:val="24"/>
        </w:rPr>
        <w:t>Te</w:t>
      </w:r>
      <w:proofErr w:type="spellEnd"/>
      <w:r w:rsidR="00A0101E" w:rsidRPr="00A0101E">
        <w:rPr>
          <w:rFonts w:eastAsia="SimSun"/>
          <w:b/>
          <w:color w:val="000000" w:themeColor="text1"/>
          <w:szCs w:val="24"/>
        </w:rPr>
        <w:t xml:space="preserve"> and </w:t>
      </w:r>
      <w:proofErr w:type="spellStart"/>
      <w:r w:rsidR="00A0101E" w:rsidRPr="00A0101E">
        <w:rPr>
          <w:rFonts w:eastAsia="SimSun"/>
          <w:b/>
          <w:color w:val="000000" w:themeColor="text1"/>
          <w:szCs w:val="24"/>
        </w:rPr>
        <w:t>Tq</w:t>
      </w:r>
      <w:proofErr w:type="spellEnd"/>
      <w:r w:rsidR="00A0101E" w:rsidRPr="00A0101E">
        <w:rPr>
          <w:rFonts w:eastAsia="SimSun"/>
          <w:b/>
          <w:color w:val="000000" w:themeColor="text1"/>
          <w:szCs w:val="24"/>
        </w:rPr>
        <w:t xml:space="preserve"> requirements provided that the SSB is available at the UE at least once every 160 </w:t>
      </w:r>
      <w:proofErr w:type="spellStart"/>
      <w:r w:rsidR="00A0101E" w:rsidRPr="00A0101E">
        <w:rPr>
          <w:rFonts w:eastAsia="SimSun"/>
          <w:b/>
          <w:color w:val="000000" w:themeColor="text1"/>
          <w:szCs w:val="24"/>
        </w:rPr>
        <w:t>ms</w:t>
      </w:r>
      <w:proofErr w:type="spellEnd"/>
      <w:r w:rsidR="00A0101E" w:rsidRPr="00A0101E">
        <w:rPr>
          <w:rFonts w:eastAsia="SimSun"/>
          <w:b/>
          <w:color w:val="000000" w:themeColor="text1"/>
          <w:szCs w:val="24"/>
        </w:rPr>
        <w:t xml:space="preserve"> and the SSB is in active </w:t>
      </w:r>
      <w:r w:rsidR="004E7168">
        <w:rPr>
          <w:rFonts w:eastAsia="SimSun"/>
          <w:b/>
          <w:color w:val="000000" w:themeColor="text1"/>
          <w:szCs w:val="24"/>
        </w:rPr>
        <w:t xml:space="preserve">DL </w:t>
      </w:r>
      <w:r w:rsidR="00A0101E" w:rsidRPr="00A0101E">
        <w:rPr>
          <w:rFonts w:eastAsia="SimSun"/>
          <w:b/>
          <w:color w:val="000000" w:themeColor="text1"/>
          <w:szCs w:val="24"/>
        </w:rPr>
        <w:t>BWP</w:t>
      </w:r>
      <w:r w:rsidR="00DD4FB3" w:rsidRPr="00171E46">
        <w:rPr>
          <w:rFonts w:cstheme="minorHAnsi"/>
          <w:b/>
          <w:lang w:eastAsia="ko-KR"/>
        </w:rPr>
        <w:t>.</w:t>
      </w:r>
      <w:bookmarkEnd w:id="2"/>
    </w:p>
    <w:p w14:paraId="1BDFFEA3" w14:textId="60D51232" w:rsidR="004B7551" w:rsidRPr="0075412B" w:rsidRDefault="004B7551" w:rsidP="0075412B">
      <w:pPr>
        <w:pStyle w:val="ListParagraph"/>
        <w:numPr>
          <w:ilvl w:val="0"/>
          <w:numId w:val="19"/>
        </w:numPr>
        <w:spacing w:after="180"/>
        <w:contextualSpacing w:val="0"/>
        <w:jc w:val="both"/>
        <w:rPr>
          <w:rFonts w:ascii="Times New Roman" w:hAnsi="Times New Roman" w:cs="Times New Roman"/>
          <w:b/>
          <w:sz w:val="20"/>
          <w:szCs w:val="20"/>
        </w:rPr>
      </w:pPr>
      <w:bookmarkStart w:id="3" w:name="_Ref100845641"/>
      <w:r>
        <w:rPr>
          <w:rFonts w:cstheme="minorHAnsi"/>
          <w:b/>
          <w:lang w:eastAsia="ko-KR"/>
        </w:rPr>
        <w:t>Support Option 1:</w:t>
      </w:r>
      <w:r w:rsidRPr="004B7551">
        <w:t xml:space="preserve"> </w:t>
      </w:r>
      <w:r w:rsidRPr="004B7551">
        <w:rPr>
          <w:rFonts w:cstheme="minorHAnsi"/>
          <w:b/>
          <w:lang w:eastAsia="ko-KR"/>
        </w:rPr>
        <w:t xml:space="preserve">SSB </w:t>
      </w:r>
      <w:proofErr w:type="gramStart"/>
      <w:r w:rsidRPr="004B7551">
        <w:rPr>
          <w:rFonts w:cstheme="minorHAnsi"/>
          <w:b/>
          <w:lang w:eastAsia="ko-KR"/>
        </w:rPr>
        <w:t>has to</w:t>
      </w:r>
      <w:proofErr w:type="gramEnd"/>
      <w:r w:rsidRPr="004B7551">
        <w:rPr>
          <w:rFonts w:cstheme="minorHAnsi"/>
          <w:b/>
          <w:lang w:eastAsia="ko-KR"/>
        </w:rPr>
        <w:t xml:space="preserve"> be in active</w:t>
      </w:r>
      <w:r w:rsidR="004E7168">
        <w:rPr>
          <w:rFonts w:cstheme="minorHAnsi"/>
          <w:b/>
          <w:lang w:eastAsia="ko-KR"/>
        </w:rPr>
        <w:t xml:space="preserve"> DL</w:t>
      </w:r>
      <w:r w:rsidRPr="004B7551">
        <w:rPr>
          <w:rFonts w:cstheme="minorHAnsi"/>
          <w:b/>
          <w:lang w:eastAsia="ko-KR"/>
        </w:rPr>
        <w:t xml:space="preserve"> BWP</w:t>
      </w:r>
      <w:r>
        <w:rPr>
          <w:rFonts w:cstheme="minorHAnsi"/>
          <w:b/>
          <w:lang w:eastAsia="ko-KR"/>
        </w:rPr>
        <w:t>.</w:t>
      </w:r>
      <w:bookmarkEnd w:id="3"/>
      <w:r>
        <w:rPr>
          <w:rFonts w:cstheme="minorHAnsi"/>
          <w:b/>
          <w:lang w:eastAsia="ko-KR"/>
        </w:rPr>
        <w:t xml:space="preserve"> </w:t>
      </w:r>
    </w:p>
    <w:p w14:paraId="0D164B1C" w14:textId="63187D3B"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B4C2CD1" w14:textId="77777777" w:rsidR="00D34B64" w:rsidRDefault="00D34B64" w:rsidP="00BB3B06">
      <w:pPr>
        <w:jc w:val="both"/>
      </w:pPr>
      <w:r>
        <w:t xml:space="preserve">In this </w:t>
      </w:r>
      <w:r w:rsidR="00DB0F9C">
        <w:t xml:space="preserve">contribution, discussion on </w:t>
      </w:r>
      <w:r w:rsidR="00E14D41">
        <w:t>timing</w:t>
      </w:r>
      <w:r w:rsidR="00DB0F9C">
        <w:t xml:space="preserve">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246017E2" w14:textId="401B3EF2" w:rsidR="00B6624B" w:rsidRDefault="00B6624B" w:rsidP="001D32F1">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522C10">
        <w:rPr>
          <w:b/>
        </w:rPr>
        <w:t>Observation 1:</w:t>
      </w:r>
      <w:r w:rsidRPr="004B4F2B">
        <w:rPr>
          <w:b/>
        </w:rPr>
        <w:fldChar w:fldCharType="end"/>
      </w:r>
      <w:r w:rsidRPr="004B4F2B">
        <w:rPr>
          <w:b/>
        </w:rPr>
        <w:t xml:space="preserve"> </w:t>
      </w:r>
      <w:r w:rsidR="00706C63">
        <w:rPr>
          <w:b/>
        </w:rPr>
        <w:fldChar w:fldCharType="begin"/>
      </w:r>
      <w:r w:rsidR="00706C63">
        <w:rPr>
          <w:b/>
        </w:rPr>
        <w:instrText xml:space="preserve"> REF _Ref78985672 \h </w:instrText>
      </w:r>
      <w:r w:rsidR="00706C63">
        <w:rPr>
          <w:b/>
        </w:rPr>
      </w:r>
      <w:r w:rsidR="00706C63">
        <w:rPr>
          <w:b/>
        </w:rPr>
        <w:fldChar w:fldCharType="separate"/>
      </w:r>
      <w:r w:rsidR="00522C10">
        <w:rPr>
          <w:rFonts w:cstheme="minorHAnsi"/>
          <w:b/>
          <w:lang w:eastAsia="ko-KR"/>
        </w:rPr>
        <w:t>Option 1 and 2 are not contradicting each other and both shall be captured as in option 2a</w:t>
      </w:r>
      <w:r w:rsidR="00522C10" w:rsidRPr="00D34B64">
        <w:rPr>
          <w:rFonts w:cstheme="minorHAnsi"/>
          <w:b/>
          <w:lang w:eastAsia="ko-KR"/>
        </w:rPr>
        <w:t>.</w:t>
      </w:r>
      <w:r w:rsidR="00706C63">
        <w:rPr>
          <w:b/>
        </w:rPr>
        <w:fldChar w:fldCharType="end"/>
      </w:r>
    </w:p>
    <w:p w14:paraId="73398C67" w14:textId="614801ED" w:rsidR="001D6AB5" w:rsidRDefault="001D6AB5" w:rsidP="00BB3B06">
      <w:pPr>
        <w:jc w:val="both"/>
      </w:pPr>
      <w:r w:rsidRPr="001D6AB5">
        <w:rPr>
          <w:b/>
          <w:bCs/>
        </w:rPr>
        <w:fldChar w:fldCharType="begin"/>
      </w:r>
      <w:r w:rsidRPr="001D6AB5">
        <w:rPr>
          <w:b/>
          <w:bCs/>
        </w:rPr>
        <w:instrText xml:space="preserve"> REF _Ref100845626 \n \h </w:instrText>
      </w:r>
      <w:r>
        <w:rPr>
          <w:b/>
          <w:bCs/>
        </w:rPr>
        <w:instrText xml:space="preserve"> \* MERGEFORMAT </w:instrText>
      </w:r>
      <w:r w:rsidRPr="001D6AB5">
        <w:rPr>
          <w:b/>
          <w:bCs/>
        </w:rPr>
      </w:r>
      <w:r w:rsidRPr="001D6AB5">
        <w:rPr>
          <w:b/>
          <w:bCs/>
        </w:rPr>
        <w:fldChar w:fldCharType="separate"/>
      </w:r>
      <w:r w:rsidR="00522C10">
        <w:rPr>
          <w:b/>
          <w:bCs/>
        </w:rPr>
        <w:t>Observation 2:</w:t>
      </w:r>
      <w:r w:rsidRPr="001D6AB5">
        <w:rPr>
          <w:b/>
          <w:bCs/>
        </w:rPr>
        <w:fldChar w:fldCharType="end"/>
      </w:r>
      <w:r w:rsidRPr="001D6AB5">
        <w:rPr>
          <w:b/>
          <w:bCs/>
        </w:rPr>
        <w:t xml:space="preserve"> </w:t>
      </w:r>
      <w:r>
        <w:fldChar w:fldCharType="begin"/>
      </w:r>
      <w:r>
        <w:instrText xml:space="preserve"> REF _Ref100845626 \h </w:instrText>
      </w:r>
      <w:r>
        <w:fldChar w:fldCharType="separate"/>
      </w:r>
      <w:r w:rsidR="00522C10">
        <w:rPr>
          <w:rFonts w:cstheme="minorHAnsi"/>
          <w:b/>
          <w:lang w:eastAsia="ko-KR"/>
        </w:rPr>
        <w:t>For the agreed cases A and B/B1 the SSB is always included in the active BWP.</w:t>
      </w:r>
      <w:r>
        <w:fldChar w:fldCharType="end"/>
      </w:r>
    </w:p>
    <w:p w14:paraId="6678B771" w14:textId="21707B5E" w:rsidR="00B6624B" w:rsidRDefault="00B6624B" w:rsidP="00BB3B06">
      <w:pPr>
        <w:jc w:val="both"/>
      </w:pPr>
      <w:r>
        <w:t xml:space="preserve">Also, we have the following proposals: </w:t>
      </w:r>
    </w:p>
    <w:p w14:paraId="4022477D" w14:textId="1D3F3901"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522C10">
        <w:rPr>
          <w:b/>
        </w:rPr>
        <w:t>Proposal 1:</w:t>
      </w:r>
      <w:r w:rsidRPr="009167EC">
        <w:rPr>
          <w:b/>
        </w:rPr>
        <w:fldChar w:fldCharType="end"/>
      </w:r>
      <w:r w:rsidRPr="009167EC">
        <w:rPr>
          <w:b/>
        </w:rPr>
        <w:t xml:space="preserve"> </w:t>
      </w:r>
      <w:r w:rsidR="00706C63">
        <w:rPr>
          <w:b/>
        </w:rPr>
        <w:fldChar w:fldCharType="begin"/>
      </w:r>
      <w:r w:rsidR="00706C63">
        <w:rPr>
          <w:b/>
        </w:rPr>
        <w:instrText xml:space="preserve"> REF _Ref78920219 \h </w:instrText>
      </w:r>
      <w:r w:rsidR="00706C63">
        <w:rPr>
          <w:b/>
        </w:rPr>
      </w:r>
      <w:r w:rsidR="00706C63">
        <w:rPr>
          <w:b/>
        </w:rPr>
        <w:fldChar w:fldCharType="separate"/>
      </w:r>
      <w:r w:rsidR="00522C10">
        <w:rPr>
          <w:rFonts w:cstheme="minorHAnsi"/>
          <w:b/>
          <w:lang w:eastAsia="ko-KR"/>
        </w:rPr>
        <w:t>Support Option 2a</w:t>
      </w:r>
      <w:r w:rsidR="00522C10" w:rsidRPr="00171E46">
        <w:rPr>
          <w:rFonts w:cstheme="minorHAnsi"/>
          <w:b/>
          <w:lang w:eastAsia="ko-KR"/>
        </w:rPr>
        <w:t xml:space="preserve">: </w:t>
      </w:r>
      <w:r w:rsidR="00522C10" w:rsidRPr="00A0101E">
        <w:rPr>
          <w:rFonts w:eastAsia="SimSun"/>
          <w:b/>
          <w:color w:val="000000" w:themeColor="text1"/>
          <w:szCs w:val="24"/>
        </w:rPr>
        <w:t xml:space="preserve">Redcap UE should meet the existing </w:t>
      </w:r>
      <w:proofErr w:type="spellStart"/>
      <w:r w:rsidR="00522C10" w:rsidRPr="00A0101E">
        <w:rPr>
          <w:rFonts w:eastAsia="SimSun"/>
          <w:b/>
          <w:color w:val="000000" w:themeColor="text1"/>
          <w:szCs w:val="24"/>
        </w:rPr>
        <w:t>Te</w:t>
      </w:r>
      <w:proofErr w:type="spellEnd"/>
      <w:r w:rsidR="00522C10" w:rsidRPr="00A0101E">
        <w:rPr>
          <w:rFonts w:eastAsia="SimSun"/>
          <w:b/>
          <w:color w:val="000000" w:themeColor="text1"/>
          <w:szCs w:val="24"/>
        </w:rPr>
        <w:t xml:space="preserve"> and </w:t>
      </w:r>
      <w:proofErr w:type="spellStart"/>
      <w:r w:rsidR="00522C10" w:rsidRPr="00A0101E">
        <w:rPr>
          <w:rFonts w:eastAsia="SimSun"/>
          <w:b/>
          <w:color w:val="000000" w:themeColor="text1"/>
          <w:szCs w:val="24"/>
        </w:rPr>
        <w:t>Tq</w:t>
      </w:r>
      <w:proofErr w:type="spellEnd"/>
      <w:r w:rsidR="00522C10" w:rsidRPr="00A0101E">
        <w:rPr>
          <w:rFonts w:eastAsia="SimSun"/>
          <w:b/>
          <w:color w:val="000000" w:themeColor="text1"/>
          <w:szCs w:val="24"/>
        </w:rPr>
        <w:t xml:space="preserve"> requirements provided that the SSB is available at the UE at least once every 160 </w:t>
      </w:r>
      <w:proofErr w:type="spellStart"/>
      <w:r w:rsidR="00522C10" w:rsidRPr="00A0101E">
        <w:rPr>
          <w:rFonts w:eastAsia="SimSun"/>
          <w:b/>
          <w:color w:val="000000" w:themeColor="text1"/>
          <w:szCs w:val="24"/>
        </w:rPr>
        <w:t>ms</w:t>
      </w:r>
      <w:proofErr w:type="spellEnd"/>
      <w:r w:rsidR="00522C10" w:rsidRPr="00A0101E">
        <w:rPr>
          <w:rFonts w:eastAsia="SimSun"/>
          <w:b/>
          <w:color w:val="000000" w:themeColor="text1"/>
          <w:szCs w:val="24"/>
        </w:rPr>
        <w:t xml:space="preserve"> and the SSB is in active </w:t>
      </w:r>
      <w:r w:rsidR="00522C10">
        <w:rPr>
          <w:rFonts w:eastAsia="SimSun"/>
          <w:b/>
          <w:color w:val="000000" w:themeColor="text1"/>
          <w:szCs w:val="24"/>
        </w:rPr>
        <w:t xml:space="preserve">DL </w:t>
      </w:r>
      <w:r w:rsidR="00522C10" w:rsidRPr="00A0101E">
        <w:rPr>
          <w:rFonts w:eastAsia="SimSun"/>
          <w:b/>
          <w:color w:val="000000" w:themeColor="text1"/>
          <w:szCs w:val="24"/>
        </w:rPr>
        <w:t>BWP</w:t>
      </w:r>
      <w:r w:rsidR="00522C10" w:rsidRPr="00171E46">
        <w:rPr>
          <w:rFonts w:cstheme="minorHAnsi"/>
          <w:b/>
          <w:lang w:eastAsia="ko-KR"/>
        </w:rPr>
        <w:t>.</w:t>
      </w:r>
      <w:r w:rsidR="00706C63">
        <w:rPr>
          <w:b/>
        </w:rPr>
        <w:fldChar w:fldCharType="end"/>
      </w:r>
    </w:p>
    <w:p w14:paraId="13FF95C9" w14:textId="46113525" w:rsidR="001D6AB5" w:rsidRDefault="001D6AB5" w:rsidP="001D32F1">
      <w:pPr>
        <w:jc w:val="both"/>
        <w:rPr>
          <w:b/>
        </w:rPr>
      </w:pPr>
      <w:r>
        <w:rPr>
          <w:b/>
        </w:rPr>
        <w:fldChar w:fldCharType="begin"/>
      </w:r>
      <w:r>
        <w:rPr>
          <w:b/>
        </w:rPr>
        <w:instrText xml:space="preserve"> REF _Ref100845641 \n \h </w:instrText>
      </w:r>
      <w:r>
        <w:rPr>
          <w:b/>
        </w:rPr>
      </w:r>
      <w:r>
        <w:rPr>
          <w:b/>
        </w:rPr>
        <w:fldChar w:fldCharType="separate"/>
      </w:r>
      <w:r w:rsidR="00522C10">
        <w:rPr>
          <w:b/>
        </w:rPr>
        <w:t>Proposal 2:</w:t>
      </w:r>
      <w:r>
        <w:rPr>
          <w:b/>
        </w:rPr>
        <w:fldChar w:fldCharType="end"/>
      </w:r>
      <w:r>
        <w:rPr>
          <w:b/>
        </w:rPr>
        <w:t xml:space="preserve"> </w:t>
      </w:r>
      <w:r>
        <w:rPr>
          <w:b/>
        </w:rPr>
        <w:fldChar w:fldCharType="begin"/>
      </w:r>
      <w:r>
        <w:rPr>
          <w:b/>
        </w:rPr>
        <w:instrText xml:space="preserve"> REF _Ref100845641 \h </w:instrText>
      </w:r>
      <w:r>
        <w:rPr>
          <w:b/>
        </w:rPr>
      </w:r>
      <w:r>
        <w:rPr>
          <w:b/>
        </w:rPr>
        <w:fldChar w:fldCharType="separate"/>
      </w:r>
      <w:r w:rsidR="00522C10">
        <w:rPr>
          <w:rFonts w:cstheme="minorHAnsi"/>
          <w:b/>
          <w:lang w:eastAsia="ko-KR"/>
        </w:rPr>
        <w:t>Support Option 1:</w:t>
      </w:r>
      <w:r w:rsidR="00522C10" w:rsidRPr="004B7551">
        <w:t xml:space="preserve"> </w:t>
      </w:r>
      <w:r w:rsidR="00522C10" w:rsidRPr="004B7551">
        <w:rPr>
          <w:rFonts w:cstheme="minorHAnsi"/>
          <w:b/>
          <w:lang w:eastAsia="ko-KR"/>
        </w:rPr>
        <w:t xml:space="preserve">SSB </w:t>
      </w:r>
      <w:proofErr w:type="gramStart"/>
      <w:r w:rsidR="00522C10" w:rsidRPr="004B7551">
        <w:rPr>
          <w:rFonts w:cstheme="minorHAnsi"/>
          <w:b/>
          <w:lang w:eastAsia="ko-KR"/>
        </w:rPr>
        <w:t>has to</w:t>
      </w:r>
      <w:proofErr w:type="gramEnd"/>
      <w:r w:rsidR="00522C10" w:rsidRPr="004B7551">
        <w:rPr>
          <w:rFonts w:cstheme="minorHAnsi"/>
          <w:b/>
          <w:lang w:eastAsia="ko-KR"/>
        </w:rPr>
        <w:t xml:space="preserve"> be in active</w:t>
      </w:r>
      <w:r w:rsidR="00522C10">
        <w:rPr>
          <w:rFonts w:cstheme="minorHAnsi"/>
          <w:b/>
          <w:lang w:eastAsia="ko-KR"/>
        </w:rPr>
        <w:t xml:space="preserve"> DL</w:t>
      </w:r>
      <w:r w:rsidR="00522C10" w:rsidRPr="004B7551">
        <w:rPr>
          <w:rFonts w:cstheme="minorHAnsi"/>
          <w:b/>
          <w:lang w:eastAsia="ko-KR"/>
        </w:rPr>
        <w:t xml:space="preserve"> BWP</w:t>
      </w:r>
      <w:r w:rsidR="00522C10">
        <w:rPr>
          <w:rFonts w:cstheme="minorHAnsi"/>
          <w:b/>
          <w:lang w:eastAsia="ko-KR"/>
        </w:rPr>
        <w:t>.</w:t>
      </w:r>
      <w:r>
        <w:rPr>
          <w:b/>
        </w:rPr>
        <w:fldChar w:fldCharType="end"/>
      </w:r>
    </w:p>
    <w:p w14:paraId="1F1DB8DD" w14:textId="364FF4CB" w:rsidR="00D63646" w:rsidRPr="006B21ED" w:rsidRDefault="00F3300B" w:rsidP="005376AD">
      <w:pPr>
        <w:pStyle w:val="Heading1"/>
        <w:numPr>
          <w:ilvl w:val="0"/>
          <w:numId w:val="0"/>
        </w:numPr>
        <w:jc w:val="both"/>
        <w:rPr>
          <w:rFonts w:ascii="Arial" w:hAnsi="Arial" w:cs="Arial"/>
        </w:rPr>
      </w:pPr>
      <w:r>
        <w:rPr>
          <w:rFonts w:ascii="Arial" w:hAnsi="Arial" w:cs="Arial"/>
        </w:rPr>
        <w:t>4</w:t>
      </w:r>
      <w:r w:rsidR="005376AD">
        <w:rPr>
          <w:rFonts w:ascii="Arial" w:hAnsi="Arial" w:cs="Arial"/>
        </w:rPr>
        <w:t xml:space="preserve"> </w:t>
      </w:r>
      <w:r w:rsidR="000F20AC" w:rsidRPr="006B21ED">
        <w:rPr>
          <w:rFonts w:ascii="Arial" w:hAnsi="Arial" w:cs="Arial"/>
        </w:rPr>
        <w:t>References</w:t>
      </w:r>
    </w:p>
    <w:p w14:paraId="070012BE" w14:textId="52CEFB1F" w:rsidR="00C36F62" w:rsidRPr="006048F3" w:rsidRDefault="00135EEB" w:rsidP="00D926A9">
      <w:pPr>
        <w:pStyle w:val="ListParagraph"/>
        <w:numPr>
          <w:ilvl w:val="0"/>
          <w:numId w:val="15"/>
        </w:numPr>
        <w:jc w:val="both"/>
        <w:rPr>
          <w:rFonts w:cstheme="minorHAnsi"/>
          <w:color w:val="000000"/>
        </w:rPr>
      </w:pPr>
      <w:bookmarkStart w:id="4" w:name="_Ref71639227"/>
      <w:bookmarkStart w:id="5" w:name="_Ref94881198"/>
      <w:r>
        <w:rPr>
          <w:rFonts w:cstheme="minorHAnsi"/>
        </w:rPr>
        <w:t>R</w:t>
      </w:r>
      <w:bookmarkEnd w:id="4"/>
      <w:r w:rsidR="006048F3">
        <w:rPr>
          <w:rFonts w:cstheme="minorHAnsi"/>
        </w:rPr>
        <w:t>4</w:t>
      </w:r>
      <w:r w:rsidR="00D32C5A" w:rsidRPr="00D34B64">
        <w:rPr>
          <w:rFonts w:cstheme="minorHAnsi"/>
        </w:rPr>
        <w:t>-2</w:t>
      </w:r>
      <w:r w:rsidR="007616E3">
        <w:rPr>
          <w:rFonts w:cstheme="minorHAnsi"/>
        </w:rPr>
        <w:t>20</w:t>
      </w:r>
      <w:r w:rsidR="00D558B1">
        <w:rPr>
          <w:rFonts w:cstheme="minorHAnsi"/>
        </w:rPr>
        <w:t>6950</w:t>
      </w:r>
      <w:r w:rsidR="00D32C5A" w:rsidRPr="00D34B64">
        <w:rPr>
          <w:rFonts w:cstheme="minorHAnsi"/>
        </w:rPr>
        <w:t>, “</w:t>
      </w:r>
      <w:r w:rsidR="007616E3" w:rsidRPr="00C36F62">
        <w:rPr>
          <w:rFonts w:cstheme="minorHAnsi"/>
        </w:rPr>
        <w:t xml:space="preserve">WF on </w:t>
      </w:r>
      <w:proofErr w:type="spellStart"/>
      <w:r w:rsidR="007616E3" w:rsidRPr="00C36F62">
        <w:rPr>
          <w:rFonts w:cstheme="minorHAnsi"/>
        </w:rPr>
        <w:t>RedCap</w:t>
      </w:r>
      <w:proofErr w:type="spellEnd"/>
      <w:r w:rsidR="007616E3" w:rsidRPr="00C36F62">
        <w:rPr>
          <w:rFonts w:cstheme="minorHAnsi"/>
        </w:rPr>
        <w:t xml:space="preserve"> RRM requirements</w:t>
      </w:r>
      <w:r w:rsidR="00D32C5A">
        <w:rPr>
          <w:rFonts w:cstheme="minorHAnsi"/>
        </w:rPr>
        <w:t>”</w:t>
      </w:r>
      <w:r w:rsidR="007616E3">
        <w:rPr>
          <w:rFonts w:cstheme="minorHAnsi"/>
        </w:rPr>
        <w:t>, Ericsson</w:t>
      </w:r>
      <w:r w:rsidR="00D32C5A">
        <w:rPr>
          <w:rFonts w:cstheme="minorHAnsi"/>
        </w:rPr>
        <w:t>.</w:t>
      </w:r>
      <w:bookmarkEnd w:id="5"/>
    </w:p>
    <w:p w14:paraId="300FF656" w14:textId="3DC85D49" w:rsidR="006048F3" w:rsidRPr="00D926A9" w:rsidRDefault="00F42718" w:rsidP="00D926A9">
      <w:pPr>
        <w:pStyle w:val="ListParagraph"/>
        <w:numPr>
          <w:ilvl w:val="0"/>
          <w:numId w:val="15"/>
        </w:numPr>
        <w:jc w:val="both"/>
        <w:rPr>
          <w:rFonts w:cstheme="minorHAnsi"/>
          <w:color w:val="000000"/>
        </w:rPr>
      </w:pPr>
      <w:bookmarkStart w:id="6" w:name="_Ref100845952"/>
      <w:r>
        <w:rPr>
          <w:rFonts w:cstheme="minorHAnsi"/>
          <w:color w:val="000000"/>
        </w:rPr>
        <w:t xml:space="preserve">Chairman notes: </w:t>
      </w:r>
      <w:r w:rsidR="001E60DB">
        <w:rPr>
          <w:rFonts w:cstheme="minorHAnsi"/>
          <w:color w:val="000000"/>
        </w:rPr>
        <w:t>RAN4_102-e_RRM_session</w:t>
      </w:r>
      <w:r w:rsidR="00F57B45">
        <w:rPr>
          <w:rFonts w:cstheme="minorHAnsi"/>
          <w:color w:val="000000"/>
        </w:rPr>
        <w:t>_report_11_EOM.</w:t>
      </w:r>
      <w:bookmarkEnd w:id="6"/>
    </w:p>
    <w:sectPr w:rsidR="006048F3" w:rsidRPr="00D926A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C08BD" w14:textId="77777777" w:rsidR="00EB2809" w:rsidRDefault="00EB2809">
      <w:r>
        <w:separator/>
      </w:r>
    </w:p>
  </w:endnote>
  <w:endnote w:type="continuationSeparator" w:id="0">
    <w:p w14:paraId="7592F36A" w14:textId="77777777" w:rsidR="00EB2809" w:rsidRDefault="00EB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44927" w14:textId="77777777" w:rsidR="00EB2809" w:rsidRDefault="00EB2809">
      <w:r>
        <w:separator/>
      </w:r>
    </w:p>
  </w:footnote>
  <w:footnote w:type="continuationSeparator" w:id="0">
    <w:p w14:paraId="6FF3503B" w14:textId="77777777" w:rsidR="00EB2809" w:rsidRDefault="00EB2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9DAA32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FC89A2">
      <w:numFmt w:val="bullet"/>
      <w:lvlText w:val="•"/>
      <w:lvlJc w:val="left"/>
      <w:pPr>
        <w:ind w:left="6120" w:hanging="360"/>
      </w:pPr>
      <w:rPr>
        <w:rFonts w:ascii="Times New Roman" w:eastAsia="SimSun" w:hAnsi="Times New Roman" w:cs="Times New Roman"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6"/>
  </w:num>
  <w:num w:numId="2">
    <w:abstractNumId w:val="15"/>
  </w:num>
  <w:num w:numId="3">
    <w:abstractNumId w:val="3"/>
  </w:num>
  <w:num w:numId="4">
    <w:abstractNumId w:val="28"/>
  </w:num>
  <w:num w:numId="5">
    <w:abstractNumId w:val="5"/>
  </w:num>
  <w:num w:numId="6">
    <w:abstractNumId w:val="10"/>
  </w:num>
  <w:num w:numId="7">
    <w:abstractNumId w:val="6"/>
  </w:num>
  <w:num w:numId="8">
    <w:abstractNumId w:val="7"/>
  </w:num>
  <w:num w:numId="9">
    <w:abstractNumId w:val="11"/>
  </w:num>
  <w:num w:numId="10">
    <w:abstractNumId w:val="22"/>
  </w:num>
  <w:num w:numId="11">
    <w:abstractNumId w:val="25"/>
  </w:num>
  <w:num w:numId="12">
    <w:abstractNumId w:val="16"/>
  </w:num>
  <w:num w:numId="13">
    <w:abstractNumId w:val="18"/>
  </w:num>
  <w:num w:numId="14">
    <w:abstractNumId w:val="24"/>
  </w:num>
  <w:num w:numId="15">
    <w:abstractNumId w:val="21"/>
  </w:num>
  <w:num w:numId="16">
    <w:abstractNumId w:val="13"/>
  </w:num>
  <w:num w:numId="17">
    <w:abstractNumId w:val="20"/>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0"/>
  </w:num>
  <w:num w:numId="24">
    <w:abstractNumId w:val="17"/>
  </w:num>
  <w:num w:numId="25">
    <w:abstractNumId w:val="2"/>
  </w:num>
  <w:num w:numId="26">
    <w:abstractNumId w:val="29"/>
  </w:num>
  <w:num w:numId="27">
    <w:abstractNumId w:val="8"/>
  </w:num>
  <w:num w:numId="28">
    <w:abstractNumId w:val="12"/>
  </w:num>
  <w:num w:numId="29">
    <w:abstractNumId w:val="19"/>
  </w:num>
  <w:num w:numId="30">
    <w:abstractNumId w:val="14"/>
  </w:num>
  <w:num w:numId="31">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2C5"/>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4BB4"/>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08E"/>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E46"/>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6AB5"/>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0DB"/>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2FAB"/>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8A9"/>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C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385"/>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36E"/>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C45"/>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560"/>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4B"/>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67A"/>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2A"/>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E59"/>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551"/>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4F53"/>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168"/>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C10"/>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6AD"/>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6A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D8"/>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8F3"/>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714"/>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67C7F"/>
    <w:rsid w:val="0067013D"/>
    <w:rsid w:val="006701DE"/>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31F"/>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0EDC"/>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6C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6BF"/>
    <w:rsid w:val="006D4A91"/>
    <w:rsid w:val="006D4AF3"/>
    <w:rsid w:val="006D538B"/>
    <w:rsid w:val="006D54E3"/>
    <w:rsid w:val="006D59A0"/>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63"/>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24"/>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12B"/>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6E3"/>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2B8"/>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009"/>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1A5"/>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3F"/>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806"/>
    <w:rsid w:val="008D39EF"/>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129"/>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B36"/>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1E"/>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977"/>
    <w:rsid w:val="00A65AE8"/>
    <w:rsid w:val="00A65CD4"/>
    <w:rsid w:val="00A662EC"/>
    <w:rsid w:val="00A66510"/>
    <w:rsid w:val="00A66719"/>
    <w:rsid w:val="00A667E7"/>
    <w:rsid w:val="00A66AE9"/>
    <w:rsid w:val="00A67187"/>
    <w:rsid w:val="00A679F0"/>
    <w:rsid w:val="00A67EC3"/>
    <w:rsid w:val="00A70142"/>
    <w:rsid w:val="00A7030F"/>
    <w:rsid w:val="00A705E3"/>
    <w:rsid w:val="00A710D4"/>
    <w:rsid w:val="00A712B6"/>
    <w:rsid w:val="00A720C2"/>
    <w:rsid w:val="00A7217E"/>
    <w:rsid w:val="00A72300"/>
    <w:rsid w:val="00A723E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609"/>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E31"/>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2B2"/>
    <w:rsid w:val="00B2251E"/>
    <w:rsid w:val="00B226C3"/>
    <w:rsid w:val="00B227CD"/>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966"/>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B8"/>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A7D"/>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15F"/>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CC"/>
    <w:rsid w:val="00C34364"/>
    <w:rsid w:val="00C34DBB"/>
    <w:rsid w:val="00C3547B"/>
    <w:rsid w:val="00C3550C"/>
    <w:rsid w:val="00C35E7A"/>
    <w:rsid w:val="00C36388"/>
    <w:rsid w:val="00C36CE9"/>
    <w:rsid w:val="00C36F62"/>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BD"/>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C18"/>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78C"/>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B3D"/>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8B1"/>
    <w:rsid w:val="00D5608C"/>
    <w:rsid w:val="00D56A10"/>
    <w:rsid w:val="00D56BA7"/>
    <w:rsid w:val="00D56CD1"/>
    <w:rsid w:val="00D56F4E"/>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6A9"/>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2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AB8"/>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D41"/>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1F51"/>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3B6"/>
    <w:rsid w:val="00EA7437"/>
    <w:rsid w:val="00EA7931"/>
    <w:rsid w:val="00EA7C0E"/>
    <w:rsid w:val="00EA7E5E"/>
    <w:rsid w:val="00EB059D"/>
    <w:rsid w:val="00EB1BA0"/>
    <w:rsid w:val="00EB1BBB"/>
    <w:rsid w:val="00EB1BFF"/>
    <w:rsid w:val="00EB25C7"/>
    <w:rsid w:val="00EB2809"/>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48D6"/>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441"/>
    <w:rsid w:val="00F30E12"/>
    <w:rsid w:val="00F3109B"/>
    <w:rsid w:val="00F32190"/>
    <w:rsid w:val="00F323E5"/>
    <w:rsid w:val="00F32B29"/>
    <w:rsid w:val="00F32EB8"/>
    <w:rsid w:val="00F3300B"/>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718"/>
    <w:rsid w:val="00F42AEA"/>
    <w:rsid w:val="00F43148"/>
    <w:rsid w:val="00F43398"/>
    <w:rsid w:val="00F433DE"/>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5"/>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E1"/>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DAC"/>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C15"/>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D5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BC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0B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BC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8CB7-B318-40FF-A8CB-1EEF1B836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2022-04-25T17:10:00Z</dcterms:created>
  <dcterms:modified xsi:type="dcterms:W3CDTF">2022-04-25T17:10:00Z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